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983123" w:rsidRPr="00832AD7" w:rsidRDefault="00983123" w:rsidP="00832AD7">
      <w:pPr>
        <w:spacing w:after="0" w:line="240" w:lineRule="auto"/>
        <w:jc w:val="right"/>
        <w:rPr>
          <w:rFonts w:ascii="Times New Roman" w:eastAsia="Times New Roman" w:hAnsi="Times New Roman" w:cs="David"/>
          <w:sz w:val="16"/>
          <w:szCs w:val="16"/>
        </w:rPr>
      </w:pP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DocDateEng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08 במאי 2024</w:t>
      </w:r>
      <w:r w:rsidRPr="00832AD7">
        <w:rPr>
          <w:rFonts w:ascii="Times New Roman" w:eastAsia="Times New Roman" w:hAnsi="Times New Roman" w:cs="David" w:hint="cs"/>
          <w:sz w:val="16"/>
          <w:szCs w:val="16"/>
          <w:rtl/>
        </w:rPr>
        <w:fldChar w:fldCharType="end"/>
      </w:r>
    </w:p>
    <w:p w:rsidR="00983123" w:rsidRPr="00832AD7" w:rsidRDefault="00983123" w:rsidP="00832AD7">
      <w:pPr>
        <w:spacing w:after="0" w:line="240" w:lineRule="auto"/>
        <w:jc w:val="right"/>
        <w:rPr>
          <w:rFonts w:ascii="Times New Roman" w:eastAsia="Times New Roman" w:hAnsi="Times New Roman" w:cs="David"/>
          <w:sz w:val="16"/>
          <w:szCs w:val="16"/>
          <w:rtl/>
        </w:rPr>
      </w:pPr>
      <w:r w:rsidRPr="00832AD7">
        <w:rPr>
          <w:rFonts w:ascii="Times New Roman" w:eastAsia="Times New Roman" w:hAnsi="Times New Roman" w:cs="David" w:hint="cs"/>
          <w:sz w:val="16"/>
          <w:szCs w:val="16"/>
          <w:rtl/>
        </w:rPr>
        <w:t xml:space="preserve">                                                                                                   </w:t>
      </w: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DocDateHeb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ל' בניסן תשפ"ד</w:t>
      </w:r>
      <w:r w:rsidRPr="00832AD7">
        <w:rPr>
          <w:rFonts w:ascii="Times New Roman" w:eastAsia="Times New Roman" w:hAnsi="Times New Roman" w:cs="David" w:hint="cs"/>
          <w:sz w:val="16"/>
          <w:szCs w:val="16"/>
          <w:rtl/>
        </w:rPr>
        <w:fldChar w:fldCharType="end"/>
      </w:r>
    </w:p>
    <w:p w:rsidR="00983123" w:rsidRPr="00983123" w:rsidRDefault="00983123" w:rsidP="00832AD7">
      <w:pPr>
        <w:spacing w:after="0" w:line="240" w:lineRule="auto"/>
        <w:jc w:val="right"/>
        <w:rPr>
          <w:rFonts w:ascii="Times New Roman" w:eastAsia="Times New Roman" w:hAnsi="Times New Roman" w:cs="David"/>
          <w:sz w:val="24"/>
          <w:szCs w:val="24"/>
          <w:rtl/>
        </w:rPr>
      </w:pP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DocNumber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4700-1039-2024-003414</w:t>
      </w:r>
      <w:r w:rsidRPr="00832AD7">
        <w:rPr>
          <w:rFonts w:ascii="Times New Roman" w:eastAsia="Times New Roman" w:hAnsi="Times New Roman" w:cs="David" w:hint="cs"/>
          <w:sz w:val="16"/>
          <w:szCs w:val="16"/>
          <w:rtl/>
        </w:rPr>
        <w:fldChar w:fldCharType="end"/>
      </w:r>
    </w:p>
    <w:p w:rsidR="00541C9E" w:rsidRPr="000071E5" w:rsidRDefault="00541C9E" w:rsidP="00173D8B">
      <w:pPr>
        <w:spacing w:after="120" w:line="360" w:lineRule="auto"/>
        <w:contextualSpacing/>
        <w:jc w:val="center"/>
        <w:rPr>
          <w:rFonts w:ascii="FrankRuehl" w:hAnsi="FrankRuehl" w:cs="FrankRuehl"/>
          <w:b/>
          <w:bCs/>
          <w:color w:val="002060"/>
          <w:sz w:val="32"/>
          <w:szCs w:val="32"/>
          <w:u w:val="single"/>
          <w:rtl/>
        </w:rPr>
      </w:pPr>
      <w:r w:rsidRPr="000071E5">
        <w:rPr>
          <w:rFonts w:ascii="FrankRuehl" w:hAnsi="FrankRuehl" w:cs="FrankRuehl"/>
          <w:b/>
          <w:bCs/>
          <w:color w:val="002060"/>
          <w:sz w:val="32"/>
          <w:szCs w:val="32"/>
          <w:u w:val="single"/>
          <w:rtl/>
        </w:rPr>
        <w:t>תקציר פסק</w:t>
      </w:r>
      <w:r w:rsidRPr="000071E5">
        <w:rPr>
          <w:rFonts w:ascii="FrankRuehl" w:hAnsi="FrankRuehl" w:cs="FrankRuehl" w:hint="cs"/>
          <w:b/>
          <w:bCs/>
          <w:color w:val="002060"/>
          <w:sz w:val="32"/>
          <w:szCs w:val="32"/>
          <w:u w:val="single"/>
          <w:rtl/>
        </w:rPr>
        <w:t>-</w:t>
      </w:r>
      <w:r w:rsidRPr="000071E5">
        <w:rPr>
          <w:rFonts w:ascii="FrankRuehl" w:hAnsi="FrankRuehl" w:cs="FrankRuehl"/>
          <w:b/>
          <w:bCs/>
          <w:color w:val="002060"/>
          <w:sz w:val="32"/>
          <w:szCs w:val="32"/>
          <w:u w:val="single"/>
          <w:rtl/>
        </w:rPr>
        <w:t>דין</w:t>
      </w:r>
      <w:r w:rsidR="00173D8B">
        <w:rPr>
          <w:rFonts w:ascii="FrankRuehl" w:hAnsi="FrankRuehl" w:cs="FrankRuehl" w:hint="cs"/>
          <w:b/>
          <w:bCs/>
          <w:color w:val="002060"/>
          <w:sz w:val="32"/>
          <w:szCs w:val="32"/>
          <w:u w:val="single"/>
          <w:rtl/>
        </w:rPr>
        <w:t xml:space="preserve"> בתיק </w:t>
      </w:r>
      <w:r w:rsidR="00173D8B" w:rsidRPr="00173D8B">
        <w:rPr>
          <w:rFonts w:ascii="FrankRuehl" w:hAnsi="FrankRuehl" w:cs="FrankRuehl"/>
          <w:b/>
          <w:bCs/>
          <w:color w:val="002060"/>
          <w:sz w:val="32"/>
          <w:szCs w:val="32"/>
          <w:u w:val="single"/>
          <w:rtl/>
        </w:rPr>
        <w:t xml:space="preserve">בג"ץ </w:t>
      </w:r>
      <w:r w:rsidR="00173D8B">
        <w:rPr>
          <w:rFonts w:ascii="FrankRuehl" w:hAnsi="FrankRuehl" w:cs="FrankRuehl" w:hint="cs"/>
          <w:b/>
          <w:bCs/>
          <w:color w:val="002060"/>
          <w:sz w:val="32"/>
          <w:szCs w:val="32"/>
          <w:u w:val="single"/>
          <w:rtl/>
        </w:rPr>
        <w:t xml:space="preserve">3401/24 </w:t>
      </w:r>
      <w:r w:rsidR="00173D8B" w:rsidRPr="00173D8B">
        <w:rPr>
          <w:rFonts w:ascii="FrankRuehl" w:hAnsi="FrankRuehl" w:cs="FrankRuehl"/>
          <w:b/>
          <w:bCs/>
          <w:color w:val="002060"/>
          <w:sz w:val="32"/>
          <w:szCs w:val="32"/>
          <w:u w:val="single"/>
          <w:rtl/>
        </w:rPr>
        <w:t>כהנא דרור נ' שר החינוך</w:t>
      </w:r>
    </w:p>
    <w:p w:rsidR="00541C9E" w:rsidRPr="00173D8B" w:rsidRDefault="00173D8B" w:rsidP="00173D8B">
      <w:pPr>
        <w:spacing w:after="120"/>
        <w:contextualSpacing/>
        <w:jc w:val="center"/>
        <w:rPr>
          <w:rFonts w:ascii="FrankRuehl" w:hAnsi="FrankRuehl" w:cs="FrankRuehl"/>
          <w:b/>
          <w:bCs/>
          <w:color w:val="002060"/>
          <w:sz w:val="32"/>
          <w:szCs w:val="32"/>
          <w:u w:val="single"/>
          <w:rtl/>
        </w:rPr>
      </w:pPr>
      <w:r w:rsidRPr="00173D8B">
        <w:rPr>
          <w:rFonts w:ascii="FrankRuehl" w:hAnsi="FrankRuehl" w:cs="FrankRuehl" w:hint="cs"/>
          <w:b/>
          <w:bCs/>
          <w:color w:val="002060"/>
          <w:sz w:val="32"/>
          <w:szCs w:val="32"/>
          <w:u w:val="single"/>
          <w:rtl/>
        </w:rPr>
        <w:t xml:space="preserve">אב"ד השופט יצחק עמית השופט חאלד כבוב והשופטת רות רונן </w:t>
      </w:r>
    </w:p>
    <w:p w:rsidR="00173D8B" w:rsidRDefault="00173D8B" w:rsidP="00173D8B">
      <w:pPr>
        <w:tabs>
          <w:tab w:val="left" w:pos="800"/>
        </w:tabs>
        <w:spacing w:line="312" w:lineRule="auto"/>
        <w:jc w:val="both"/>
        <w:rPr>
          <w:rFonts w:ascii="Garamond" w:hAnsi="Garamond" w:cs="David"/>
          <w:b/>
          <w:bCs/>
          <w:sz w:val="24"/>
          <w:szCs w:val="24"/>
          <w:rtl/>
        </w:rPr>
      </w:pPr>
    </w:p>
    <w:p w:rsidR="00173D8B" w:rsidRDefault="00173D8B" w:rsidP="00173D8B">
      <w:pPr>
        <w:tabs>
          <w:tab w:val="left" w:pos="800"/>
        </w:tabs>
        <w:spacing w:line="312" w:lineRule="auto"/>
        <w:jc w:val="both"/>
        <w:rPr>
          <w:rFonts w:ascii="Garamond" w:hAnsi="Garamond" w:cs="David"/>
          <w:b/>
          <w:bCs/>
          <w:sz w:val="24"/>
          <w:szCs w:val="24"/>
          <w:rtl/>
        </w:rPr>
      </w:pPr>
      <w:r>
        <w:rPr>
          <w:rFonts w:ascii="Garamond" w:hAnsi="Garamond" w:cs="David" w:hint="cs"/>
          <w:b/>
          <w:bCs/>
          <w:sz w:val="24"/>
          <w:szCs w:val="24"/>
          <w:rtl/>
        </w:rPr>
        <w:t xml:space="preserve">בית המשפט העליון דחה עתירות שביקשו להורות לשר החינוך שלא להעניק את פרס ישראל בתחום ספרות תורנית ומשפט עברי לשנת תשפ"ד לרב יצחק יוסף, ולמצער להורות לוועדת השופטים להענקת הפרס לבחון מחדש את המלצתה בעניינו. </w:t>
      </w:r>
    </w:p>
    <w:p w:rsidR="00173D8B" w:rsidRDefault="00173D8B" w:rsidP="00173D8B">
      <w:pPr>
        <w:tabs>
          <w:tab w:val="left" w:pos="800"/>
        </w:tabs>
        <w:spacing w:line="312" w:lineRule="auto"/>
        <w:jc w:val="both"/>
        <w:rPr>
          <w:rFonts w:ascii="Garamond" w:hAnsi="Garamond" w:cs="David"/>
          <w:sz w:val="24"/>
          <w:szCs w:val="24"/>
          <w:rtl/>
        </w:rPr>
      </w:pPr>
      <w:r>
        <w:rPr>
          <w:rFonts w:ascii="Garamond" w:hAnsi="Garamond" w:cs="David" w:hint="cs"/>
          <w:sz w:val="24"/>
          <w:szCs w:val="24"/>
          <w:rtl/>
        </w:rPr>
        <w:t xml:space="preserve">העתירות הוגשו על רקע דברי הרב יוסף מיום 9.3.2024 שבהם ציין כי אם בני ישיבות יגויסו לצה"ל "ניסע כולנו לחוץ לארץ", וצבר התבטאויות קודמות של הרב שבעטיין המליץ נציב תלונות הציבור על השופטים והדיינים להעמידו לדין משמעתי ולהעבירו מתפקידו כדיין. </w:t>
      </w:r>
    </w:p>
    <w:p w:rsidR="00173D8B" w:rsidRPr="00173D8B" w:rsidRDefault="00173D8B" w:rsidP="00173D8B">
      <w:pPr>
        <w:tabs>
          <w:tab w:val="left" w:pos="800"/>
        </w:tabs>
        <w:spacing w:line="312" w:lineRule="auto"/>
        <w:jc w:val="both"/>
        <w:rPr>
          <w:rFonts w:ascii="Garamond" w:hAnsi="Garamond" w:cs="David"/>
          <w:sz w:val="24"/>
          <w:szCs w:val="24"/>
          <w:rtl/>
        </w:rPr>
      </w:pPr>
      <w:r w:rsidRPr="0097248D">
        <w:rPr>
          <w:rFonts w:ascii="Garamond" w:hAnsi="Garamond" w:cs="David" w:hint="cs"/>
          <w:sz w:val="24"/>
          <w:szCs w:val="24"/>
          <w:rtl/>
        </w:rPr>
        <w:t>בית המשפט העליון</w:t>
      </w:r>
      <w:r>
        <w:rPr>
          <w:rFonts w:ascii="Garamond" w:hAnsi="Garamond" w:cs="David" w:hint="cs"/>
          <w:sz w:val="24"/>
          <w:szCs w:val="24"/>
          <w:rtl/>
        </w:rPr>
        <w:t>,</w:t>
      </w:r>
      <w:r w:rsidRPr="0097248D">
        <w:rPr>
          <w:rFonts w:ascii="Garamond" w:hAnsi="Garamond" w:cs="David" w:hint="cs"/>
          <w:sz w:val="24"/>
          <w:szCs w:val="24"/>
          <w:rtl/>
        </w:rPr>
        <w:t xml:space="preserve"> מפי השופט </w:t>
      </w:r>
      <w:r w:rsidRPr="0097248D">
        <w:rPr>
          <w:rFonts w:ascii="Garamond" w:hAnsi="Garamond" w:cs="David" w:hint="cs"/>
          <w:b/>
          <w:bCs/>
          <w:sz w:val="24"/>
          <w:szCs w:val="24"/>
          <w:rtl/>
        </w:rPr>
        <w:t>י' עמית</w:t>
      </w:r>
      <w:r w:rsidRPr="00A66FF8">
        <w:rPr>
          <w:rFonts w:hint="cs"/>
          <w:rtl/>
        </w:rPr>
        <w:t>,</w:t>
      </w:r>
      <w:r>
        <w:rPr>
          <w:rFonts w:hint="cs"/>
          <w:rtl/>
        </w:rPr>
        <w:t xml:space="preserve"> </w:t>
      </w:r>
      <w:r w:rsidRPr="00793A71">
        <w:rPr>
          <w:rFonts w:ascii="Garamond" w:hAnsi="Garamond" w:cs="David" w:hint="cs"/>
          <w:sz w:val="24"/>
          <w:szCs w:val="24"/>
          <w:rtl/>
        </w:rPr>
        <w:t>קבע כי קורפוס הפסיקה ש</w:t>
      </w:r>
      <w:r>
        <w:rPr>
          <w:rFonts w:ascii="Garamond" w:hAnsi="Garamond" w:cs="David" w:hint="cs"/>
          <w:sz w:val="24"/>
          <w:szCs w:val="24"/>
          <w:rtl/>
        </w:rPr>
        <w:t>ה</w:t>
      </w:r>
      <w:r w:rsidRPr="00793A71">
        <w:rPr>
          <w:rFonts w:ascii="Garamond" w:hAnsi="Garamond" w:cs="David" w:hint="cs"/>
          <w:sz w:val="24"/>
          <w:szCs w:val="24"/>
          <w:rtl/>
        </w:rPr>
        <w:t xml:space="preserve">צטבר בנושא פרס ישראל מוביל למסקנה כי </w:t>
      </w:r>
      <w:r>
        <w:rPr>
          <w:rFonts w:ascii="Garamond" w:hAnsi="Garamond" w:cs="David" w:hint="cs"/>
          <w:sz w:val="24"/>
          <w:szCs w:val="24"/>
          <w:rtl/>
        </w:rPr>
        <w:t xml:space="preserve">אין עילה משפטית להתערב בהחלטת השר לאמץ את המלצתה המקצועית של ועדת השופטים. נקבע כי יש לראות בחומרה את התבטאויותיו המקוממות והפסולות של הרב יוסף דווקא בשל היותו עובד ציבור וסמכות רוחנית-הלכתית לציבור גדול, אך אמירות אלה הן בבחינת אמירות חיצוניות לפועלו המקצועי בתחום הספרות התורנית </w:t>
      </w:r>
      <w:r>
        <w:rPr>
          <w:rFonts w:ascii="Garamond" w:hAnsi="Garamond" w:cs="David" w:hint="cs"/>
          <w:sz w:val="24"/>
          <w:szCs w:val="24"/>
          <w:rtl/>
        </w:rPr>
        <w:lastRenderedPageBreak/>
        <w:t>שבגינו הומלץ לקבלת הפרס. פרס ישראל ניתן בגין הישגים מקצועיים,</w:t>
      </w:r>
      <w:r w:rsidRPr="00000646">
        <w:rPr>
          <w:rFonts w:ascii="Garamond" w:hAnsi="Garamond" w:cs="David" w:hint="cs"/>
          <w:sz w:val="24"/>
          <w:szCs w:val="24"/>
          <w:rtl/>
        </w:rPr>
        <w:t xml:space="preserve"> </w:t>
      </w:r>
      <w:r>
        <w:rPr>
          <w:rFonts w:ascii="Garamond" w:hAnsi="Garamond" w:cs="David" w:hint="cs"/>
          <w:sz w:val="24"/>
          <w:szCs w:val="24"/>
          <w:rtl/>
        </w:rPr>
        <w:t>ועל אף הקושי המתעורר בעניינו של הרב יוסף, אין המקרה נופל בגדר מקרי הקצה שבהם יש לשקול נסיבות חיצוניות לתחום פועלו המקצועי של המועמד. פרס ישראל עומד למבחנו ולביקורתו של הציבור, אך הוא אינו אמור לשקף קונצנזוס של הציבור</w:t>
      </w:r>
      <w:r w:rsidRPr="00285C35">
        <w:rPr>
          <w:rFonts w:hint="cs"/>
          <w:rtl/>
        </w:rPr>
        <w:t>.</w:t>
      </w:r>
      <w:r>
        <w:rPr>
          <w:rFonts w:ascii="Garamond" w:hAnsi="Garamond" w:cs="David" w:hint="cs"/>
          <w:sz w:val="24"/>
          <w:szCs w:val="24"/>
          <w:rtl/>
        </w:rPr>
        <w:t xml:space="preserve"> לנוכח היות המלצת ועדת השופטים כמעט חסינה מפני התערבות </w:t>
      </w:r>
      <w:r>
        <w:rPr>
          <w:rFonts w:ascii="Garamond" w:hAnsi="Garamond" w:cs="David"/>
          <w:sz w:val="24"/>
          <w:szCs w:val="24"/>
          <w:rtl/>
        </w:rPr>
        <w:t>–</w:t>
      </w:r>
      <w:r>
        <w:rPr>
          <w:rFonts w:ascii="Garamond" w:hAnsi="Garamond" w:cs="David" w:hint="cs"/>
          <w:sz w:val="24"/>
          <w:szCs w:val="24"/>
          <w:rtl/>
        </w:rPr>
        <w:t xml:space="preserve"> אין להיעתר לסעד המבוקש בעתירות ודינן להידחות.</w:t>
      </w:r>
    </w:p>
    <w:p w:rsidR="00173D8B" w:rsidRDefault="00173D8B" w:rsidP="00173D8B">
      <w:pPr>
        <w:pStyle w:val="Ruller4"/>
        <w:spacing w:line="312" w:lineRule="auto"/>
        <w:rPr>
          <w:rFonts w:ascii="Garamond" w:hAnsi="Garamond" w:cs="David"/>
          <w:sz w:val="24"/>
          <w:szCs w:val="24"/>
          <w:rtl/>
        </w:rPr>
      </w:pPr>
      <w:r>
        <w:rPr>
          <w:rFonts w:ascii="Garamond" w:hAnsi="Garamond" w:cs="David" w:hint="cs"/>
          <w:sz w:val="24"/>
          <w:szCs w:val="24"/>
          <w:rtl/>
        </w:rPr>
        <w:t xml:space="preserve">השופטת </w:t>
      </w:r>
      <w:r w:rsidRPr="00000646">
        <w:rPr>
          <w:rFonts w:ascii="Garamond" w:hAnsi="Garamond" w:cs="David" w:hint="cs"/>
          <w:b/>
          <w:bCs/>
          <w:sz w:val="24"/>
          <w:szCs w:val="24"/>
          <w:rtl/>
        </w:rPr>
        <w:t>ר' רונן</w:t>
      </w:r>
      <w:r>
        <w:rPr>
          <w:rFonts w:ascii="Garamond" w:hAnsi="Garamond" w:cs="David" w:hint="cs"/>
          <w:sz w:val="24"/>
          <w:szCs w:val="24"/>
          <w:rtl/>
        </w:rPr>
        <w:t xml:space="preserve"> קבעה כי מדובר במקרה גבולי, וזאת הן משום שההתבטאויות הבעייתיות של הרב יוסף אינן חיצוניות לחלוטין לתחום העיסוק שלו (אף שאינן עומדות במרכז העיסוק בשלו הוא קיבל את הפרס); והן לאור כמותן של ההתבטאויות הללו, טיבן והחומרה היתרה הנודעת להן, בעיקר על רקע התקופה הנוכחית. אף על פי כן הסכימה השופטת רונן כי דין העתירה להידחות, וזאת מאחר שהפרס הוענק לרב יוסף בשל הקורפוס העשיר של הספרות התורנית הלכתית הנוגע לנושאים רבים; ולאור הפתח הצר מאוד שהפסיקה הותירה להתערבות בהחלטות הנוגעות להענקת פרס ישראל.  </w:t>
      </w:r>
    </w:p>
    <w:p w:rsidR="00173D8B" w:rsidRPr="00264049" w:rsidRDefault="00173D8B" w:rsidP="00173D8B">
      <w:pPr>
        <w:pStyle w:val="Ruller4"/>
        <w:spacing w:line="312" w:lineRule="auto"/>
        <w:rPr>
          <w:rFonts w:ascii="David" w:hAnsi="David" w:cs="David"/>
          <w:sz w:val="24"/>
          <w:szCs w:val="24"/>
          <w:rtl/>
        </w:rPr>
      </w:pPr>
    </w:p>
    <w:p w:rsidR="00541C9E" w:rsidRPr="00173D8B" w:rsidRDefault="00173D8B" w:rsidP="00173D8B">
      <w:pPr>
        <w:pStyle w:val="Ruller4"/>
        <w:spacing w:line="312" w:lineRule="auto"/>
        <w:rPr>
          <w:rFonts w:ascii="David" w:hAnsi="David" w:cs="David"/>
          <w:sz w:val="24"/>
          <w:szCs w:val="24"/>
        </w:rPr>
      </w:pPr>
      <w:r w:rsidRPr="00264049">
        <w:rPr>
          <w:rFonts w:ascii="David" w:hAnsi="David" w:cs="David"/>
          <w:sz w:val="24"/>
          <w:szCs w:val="24"/>
          <w:rtl/>
        </w:rPr>
        <w:t xml:space="preserve">השופט </w:t>
      </w:r>
      <w:r w:rsidRPr="00264049">
        <w:rPr>
          <w:rFonts w:ascii="David" w:hAnsi="David" w:cs="David"/>
          <w:b/>
          <w:bCs/>
          <w:sz w:val="24"/>
          <w:szCs w:val="24"/>
          <w:rtl/>
        </w:rPr>
        <w:t>ח' כבוב</w:t>
      </w:r>
      <w:r w:rsidRPr="00264049">
        <w:rPr>
          <w:rFonts w:ascii="David" w:hAnsi="David" w:cs="David"/>
          <w:sz w:val="24"/>
          <w:szCs w:val="24"/>
          <w:rtl/>
        </w:rPr>
        <w:t xml:space="preserve"> </w:t>
      </w:r>
      <w:r>
        <w:rPr>
          <w:rFonts w:ascii="David" w:hAnsi="David" w:cs="David" w:hint="cs"/>
          <w:sz w:val="24"/>
          <w:szCs w:val="24"/>
          <w:rtl/>
        </w:rPr>
        <w:t xml:space="preserve">הצטרף לתוצאה בציינו כי "קשה למצוא ציבורים במדינה שלא 'זכו לקיתונות של בוז ועלבון תחת שבט לשונו של הרב". לעמדתו, לנוכח הפסיקה לאורך השנים לפיה להמלצת ועדת הפרס יש כמעט-חסינות, </w:t>
      </w:r>
      <w:r w:rsidRPr="00264049">
        <w:rPr>
          <w:rFonts w:ascii="David" w:hAnsi="David" w:cs="David"/>
          <w:sz w:val="24"/>
          <w:szCs w:val="24"/>
          <w:rtl/>
        </w:rPr>
        <w:t xml:space="preserve">הגיעה העת "לומר בקול ברור: אין עוד מקום להגשת </w:t>
      </w:r>
      <w:r w:rsidRPr="00264049">
        <w:rPr>
          <w:rFonts w:ascii="David" w:hAnsi="David" w:cs="David"/>
          <w:sz w:val="24"/>
          <w:szCs w:val="24"/>
          <w:rtl/>
        </w:rPr>
        <w:lastRenderedPageBreak/>
        <w:t>עתירות התוקפות את החלטת שר החינוך להעניק את פרס ישראל למועד כלשהו, יהיו התבטאויותיו הערכיות מכוערות ומבזות ככל שיהיו"</w:t>
      </w:r>
      <w:r>
        <w:rPr>
          <w:rFonts w:ascii="David" w:hAnsi="David" w:cs="David" w:hint="cs"/>
          <w:sz w:val="24"/>
          <w:szCs w:val="24"/>
          <w:rtl/>
        </w:rPr>
        <w:t>.</w:t>
      </w:r>
      <w:r w:rsidRPr="00264049">
        <w:rPr>
          <w:rFonts w:ascii="David" w:hAnsi="David" w:cs="David"/>
          <w:sz w:val="24"/>
          <w:szCs w:val="24"/>
          <w:rtl/>
        </w:rPr>
        <w:tab/>
      </w:r>
    </w:p>
    <w:p w:rsidR="00541C9E" w:rsidRDefault="00541C9E" w:rsidP="00541C9E">
      <w:pPr>
        <w:spacing w:after="120" w:line="360" w:lineRule="auto"/>
        <w:jc w:val="both"/>
        <w:rPr>
          <w:rFonts w:ascii="FrankRuehl" w:hAnsi="FrankRuehl" w:cs="FrankRuehl"/>
          <w:color w:val="323E4F" w:themeColor="text2" w:themeShade="BF"/>
          <w:sz w:val="26"/>
          <w:szCs w:val="26"/>
          <w:rtl/>
        </w:rPr>
      </w:pPr>
    </w:p>
    <w:p w:rsidR="002453CF" w:rsidRPr="00173D8B" w:rsidRDefault="00541C9E" w:rsidP="00173D8B">
      <w:pPr>
        <w:spacing w:after="120" w:line="360" w:lineRule="auto"/>
        <w:jc w:val="center"/>
        <w:rPr>
          <w:rFonts w:ascii="FrankRuehl" w:hAnsi="FrankRuehl" w:cs="FrankRuehl"/>
          <w:b/>
          <w:bCs/>
          <w:color w:val="002060"/>
          <w:sz w:val="26"/>
          <w:szCs w:val="26"/>
          <w:rtl/>
        </w:rPr>
      </w:pPr>
      <w:r w:rsidRPr="000071E5">
        <w:rPr>
          <w:rFonts w:ascii="FrankRuehl" w:hAnsi="FrankRuehl" w:cs="FrankRuehl" w:hint="cs"/>
          <w:b/>
          <w:bCs/>
          <w:color w:val="002060"/>
          <w:sz w:val="26"/>
          <w:szCs w:val="26"/>
          <w:rtl/>
        </w:rPr>
        <w:t xml:space="preserve">*** </w:t>
      </w:r>
      <w:r w:rsidRPr="000071E5">
        <w:rPr>
          <w:rFonts w:ascii="FrankRuehl" w:hAnsi="FrankRuehl" w:cs="FrankRuehl"/>
          <w:b/>
          <w:bCs/>
          <w:color w:val="002060"/>
          <w:sz w:val="26"/>
          <w:szCs w:val="26"/>
          <w:rtl/>
        </w:rPr>
        <w:t>התקציר אינו בא להחליף את פסק</w:t>
      </w:r>
      <w:r w:rsidRPr="000071E5">
        <w:rPr>
          <w:rFonts w:ascii="FrankRuehl" w:hAnsi="FrankRuehl" w:cs="FrankRuehl" w:hint="cs"/>
          <w:b/>
          <w:bCs/>
          <w:color w:val="002060"/>
          <w:sz w:val="26"/>
          <w:szCs w:val="26"/>
          <w:rtl/>
        </w:rPr>
        <w:t>-</w:t>
      </w:r>
      <w:r w:rsidRPr="000071E5">
        <w:rPr>
          <w:rFonts w:ascii="FrankRuehl" w:hAnsi="FrankRuehl" w:cs="FrankRuehl"/>
          <w:b/>
          <w:bCs/>
          <w:color w:val="002060"/>
          <w:sz w:val="26"/>
          <w:szCs w:val="26"/>
          <w:rtl/>
        </w:rPr>
        <w:t>הדין, הנוסח המחייב הוא זה של פסק-הדין המלא</w:t>
      </w:r>
      <w:r w:rsidRPr="000071E5">
        <w:rPr>
          <w:rFonts w:ascii="FrankRuehl" w:hAnsi="FrankRuehl" w:cs="FrankRuehl" w:hint="cs"/>
          <w:b/>
          <w:bCs/>
          <w:color w:val="002060"/>
          <w:sz w:val="26"/>
          <w:szCs w:val="26"/>
          <w:rtl/>
        </w:rPr>
        <w:t xml:space="preserve"> ***</w:t>
      </w:r>
    </w:p>
    <w:sectPr w:rsidR="002453CF" w:rsidRPr="00173D8B" w:rsidSect="00B16422">
      <w:headerReference w:type="default" r:id="rId8"/>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1A32" w:rsidRDefault="006A1A32" w:rsidP="00730CA1">
      <w:pPr>
        <w:spacing w:after="0" w:line="240" w:lineRule="auto"/>
      </w:pPr>
      <w:r>
        <w:separator/>
      </w:r>
    </w:p>
  </w:endnote>
  <w:endnote w:type="continuationSeparator" w:id="0">
    <w:p w:rsidR="006A1A32" w:rsidRDefault="006A1A32" w:rsidP="00730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TUR">
    <w:altName w:val="Microsoft Sans Serif"/>
    <w:charset w:val="00"/>
    <w:family w:val="swiss"/>
    <w:pitch w:val="variable"/>
    <w:sig w:usb0="00000000"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C9E" w:rsidRPr="003C61AF" w:rsidRDefault="00541C9E" w:rsidP="00541C9E">
    <w:pPr>
      <w:tabs>
        <w:tab w:val="center" w:pos="4153"/>
        <w:tab w:val="right" w:pos="8306"/>
      </w:tabs>
      <w:spacing w:after="0" w:line="240" w:lineRule="auto"/>
      <w:rPr>
        <w:rFonts w:ascii="Times New Roman" w:eastAsia="Times New Roman" w:hAnsi="Times New Roman" w:cs="FrankRuehl"/>
        <w:b/>
        <w:bCs/>
        <w:color w:val="000080"/>
        <w:spacing w:val="6"/>
        <w:sz w:val="24"/>
        <w:szCs w:val="24"/>
        <w:rtl/>
      </w:rPr>
    </w:pPr>
    <w:r w:rsidRPr="003C61AF">
      <w:rPr>
        <w:rFonts w:ascii="Times New Roman" w:eastAsia="Times New Roman" w:hAnsi="Times New Roman" w:cs="FrankRuehl"/>
        <w:b/>
        <w:bCs/>
        <w:color w:val="000080"/>
        <w:spacing w:val="6"/>
        <w:sz w:val="24"/>
        <w:szCs w:val="24"/>
        <w:rtl/>
      </w:rPr>
      <w:t>________________________________________________________________</w:t>
    </w:r>
  </w:p>
  <w:p w:rsidR="00541C9E" w:rsidRPr="003C61AF" w:rsidRDefault="00541C9E" w:rsidP="00541C9E">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tl/>
      </w:rPr>
    </w:pPr>
    <w:r>
      <w:rPr>
        <w:rFonts w:ascii="Times New Roman" w:eastAsia="Times New Roman" w:hAnsi="Times New Roman" w:cs="FrankRuehl" w:hint="cs"/>
        <w:b/>
        <w:bCs/>
        <w:color w:val="000080"/>
        <w:spacing w:val="6"/>
        <w:sz w:val="24"/>
        <w:szCs w:val="24"/>
        <w:rtl/>
      </w:rPr>
      <w:t>בית משפט העליון | רחוב דרך השופט מאיר שמגר 1 | קרית בן גוריון |</w:t>
    </w:r>
    <w:r w:rsidRPr="003C61AF">
      <w:rPr>
        <w:rFonts w:ascii="Times New Roman" w:eastAsia="Times New Roman" w:hAnsi="Times New Roman" w:cs="FrankRuehl" w:hint="cs"/>
        <w:b/>
        <w:bCs/>
        <w:color w:val="000080"/>
        <w:spacing w:val="6"/>
        <w:sz w:val="24"/>
        <w:szCs w:val="24"/>
        <w:rtl/>
      </w:rPr>
      <w:t xml:space="preserve"> ירושלים</w:t>
    </w:r>
  </w:p>
  <w:p w:rsidR="003C61AF" w:rsidRPr="00541C9E" w:rsidRDefault="00541C9E" w:rsidP="00541C9E">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Pr>
    </w:pPr>
    <w:r w:rsidRPr="003C61AF">
      <w:rPr>
        <w:rFonts w:ascii="Times New Roman" w:eastAsia="Times New Roman" w:hAnsi="Times New Roman" w:cs="FrankRuehl" w:hint="cs"/>
        <w:b/>
        <w:bCs/>
        <w:color w:val="000080"/>
        <w:spacing w:val="6"/>
        <w:sz w:val="24"/>
        <w:szCs w:val="24"/>
        <w:rtl/>
      </w:rPr>
      <w:t xml:space="preserve">טל: </w:t>
    </w:r>
    <w:r w:rsidRPr="003C61AF">
      <w:rPr>
        <w:rFonts w:ascii="Times New Roman" w:eastAsia="Times New Roman" w:hAnsi="Times New Roman" w:cs="FrankRuehl"/>
        <w:b/>
        <w:bCs/>
        <w:color w:val="000080"/>
        <w:spacing w:val="6"/>
        <w:sz w:val="24"/>
        <w:szCs w:val="24"/>
      </w:rPr>
      <w:t>074-7480412</w:t>
    </w:r>
    <w:r w:rsidRPr="003C61AF">
      <w:rPr>
        <w:rFonts w:ascii="Times New Roman" w:eastAsia="Times New Roman" w:hAnsi="Times New Roman" w:cs="FrankRuehl" w:hint="cs"/>
        <w:b/>
        <w:bCs/>
        <w:color w:val="000080"/>
        <w:spacing w:val="6"/>
        <w:sz w:val="24"/>
        <w:szCs w:val="24"/>
        <w:rtl/>
      </w:rPr>
      <w:t xml:space="preserve">           </w:t>
    </w:r>
    <w:r>
      <w:rPr>
        <w:rFonts w:ascii="Times New Roman" w:eastAsia="Times New Roman" w:hAnsi="Times New Roman" w:cs="FrankRuehl" w:hint="cs"/>
        <w:b/>
        <w:bCs/>
        <w:color w:val="000080"/>
        <w:spacing w:val="6"/>
        <w:sz w:val="24"/>
        <w:szCs w:val="24"/>
        <w:rtl/>
      </w:rPr>
      <w:t xml:space="preserve">     </w:t>
    </w:r>
    <w:r w:rsidRPr="003C61AF">
      <w:rPr>
        <w:rFonts w:ascii="Times New Roman" w:eastAsia="Times New Roman" w:hAnsi="Times New Roman" w:cs="FrankRuehl" w:hint="cs"/>
        <w:b/>
        <w:bCs/>
        <w:color w:val="000080"/>
        <w:spacing w:val="6"/>
        <w:sz w:val="24"/>
        <w:szCs w:val="24"/>
        <w:rtl/>
      </w:rPr>
      <w:t xml:space="preserve">   </w:t>
    </w:r>
    <w:r>
      <w:rPr>
        <w:rFonts w:ascii="Times New Roman" w:eastAsia="Times New Roman" w:hAnsi="Times New Roman" w:cs="FrankRuehl" w:hint="cs"/>
        <w:b/>
        <w:bCs/>
        <w:color w:val="000080"/>
        <w:spacing w:val="6"/>
        <w:sz w:val="24"/>
        <w:szCs w:val="24"/>
        <w:rtl/>
      </w:rPr>
      <w:t xml:space="preserve">           </w:t>
    </w:r>
    <w:r w:rsidRPr="003C61AF">
      <w:rPr>
        <w:rFonts w:ascii="Times New Roman" w:eastAsia="Times New Roman" w:hAnsi="Times New Roman" w:cs="FrankRuehl" w:hint="cs"/>
        <w:b/>
        <w:bCs/>
        <w:color w:val="000080"/>
        <w:spacing w:val="6"/>
        <w:sz w:val="24"/>
        <w:szCs w:val="24"/>
        <w:rtl/>
      </w:rPr>
      <w:t xml:space="preserve">  דוא"ל</w:t>
    </w:r>
    <w:r w:rsidRPr="003C61AF">
      <w:rPr>
        <w:rFonts w:ascii="Times New Roman" w:eastAsia="Times New Roman" w:hAnsi="Times New Roman" w:cs="FrankRuehl"/>
        <w:b/>
        <w:bCs/>
        <w:color w:val="000080"/>
        <w:spacing w:val="6"/>
        <w:sz w:val="24"/>
        <w:szCs w:val="24"/>
      </w:rPr>
      <w:t>:</w:t>
    </w:r>
    <w:r w:rsidRPr="003C61AF">
      <w:rPr>
        <w:rFonts w:ascii="Times New Roman" w:eastAsia="Times New Roman" w:hAnsi="Times New Roman" w:cs="FrankRuehl" w:hint="cs"/>
        <w:b/>
        <w:bCs/>
        <w:color w:val="000080"/>
        <w:spacing w:val="6"/>
        <w:sz w:val="24"/>
        <w:szCs w:val="24"/>
        <w:rtl/>
      </w:rPr>
      <w:t xml:space="preserve">  </w:t>
    </w:r>
    <w:hyperlink r:id="rId1" w:history="1">
      <w:r w:rsidRPr="003C61AF">
        <w:rPr>
          <w:rFonts w:ascii="Times New Roman" w:eastAsia="Times New Roman" w:hAnsi="Times New Roman" w:cs="FrankRuehl"/>
          <w:b/>
          <w:bCs/>
          <w:color w:val="0000FF"/>
          <w:spacing w:val="6"/>
          <w:sz w:val="24"/>
          <w:szCs w:val="24"/>
          <w:u w:val="single"/>
        </w:rPr>
        <w:t>Dover@court.gov.il</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1A32" w:rsidRDefault="006A1A32" w:rsidP="00730CA1">
      <w:pPr>
        <w:spacing w:after="0" w:line="240" w:lineRule="auto"/>
      </w:pPr>
      <w:r>
        <w:separator/>
      </w:r>
    </w:p>
  </w:footnote>
  <w:footnote w:type="continuationSeparator" w:id="0">
    <w:p w:rsidR="006A1A32" w:rsidRDefault="006A1A32" w:rsidP="00730C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David"/>
        <w:sz w:val="20"/>
        <w:szCs w:val="24"/>
        <w:lang w:eastAsia="he-IL"/>
      </w:rPr>
    </w:pPr>
    <w:r w:rsidRPr="005253B2">
      <w:rPr>
        <w:rFonts w:ascii="Times New Roman" w:eastAsia="Times New Roman" w:hAnsi="Times New Roman" w:cs="David"/>
        <w:noProof/>
        <w:sz w:val="20"/>
        <w:szCs w:val="24"/>
      </w:rPr>
      <w:drawing>
        <wp:inline distT="0" distB="0" distL="0" distR="0">
          <wp:extent cx="523875" cy="619125"/>
          <wp:effectExtent l="0" t="0" r="9525" b="9525"/>
          <wp:docPr id="1" name="תמונה 2" descr="תיאור: se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תיאור: sem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619125"/>
                  </a:xfrm>
                  <a:prstGeom prst="rect">
                    <a:avLst/>
                  </a:prstGeom>
                  <a:noFill/>
                  <a:ln>
                    <a:noFill/>
                  </a:ln>
                </pic:spPr>
              </pic:pic>
            </a:graphicData>
          </a:graphic>
        </wp:inline>
      </w:drawing>
    </w:r>
    <w:r w:rsidRPr="005253B2">
      <w:rPr>
        <w:rFonts w:ascii="Century" w:eastAsia="Times New Roman" w:hAnsi="Century" w:cs="FrankRuehl" w:hint="cs"/>
        <w:noProof/>
        <w:spacing w:val="10"/>
        <w:sz w:val="20"/>
        <w:szCs w:val="28"/>
        <w:rtl/>
        <w:lang w:eastAsia="he-IL"/>
      </w:rPr>
      <w:t xml:space="preserve">                                            </w:t>
    </w:r>
  </w:p>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rtl/>
        <w:lang w:eastAsia="he-IL"/>
      </w:rPr>
    </w:pPr>
    <w:r w:rsidRPr="005253B2">
      <w:rPr>
        <w:rFonts w:ascii="Times New Roman" w:eastAsia="Times New Roman" w:hAnsi="Times New Roman" w:cs="FrankRuehl" w:hint="cs"/>
        <w:b/>
        <w:bCs/>
        <w:color w:val="000080"/>
        <w:spacing w:val="6"/>
        <w:sz w:val="28"/>
        <w:szCs w:val="28"/>
        <w:rtl/>
        <w:lang w:eastAsia="he-IL"/>
      </w:rPr>
      <w:t>מערכת בתי המשפט</w:t>
    </w:r>
  </w:p>
  <w:p w:rsidR="007007D7"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lang w:eastAsia="he-IL"/>
      </w:rPr>
    </w:pPr>
    <w:r w:rsidRPr="005253B2">
      <w:rPr>
        <w:rFonts w:ascii="Times New Roman" w:eastAsia="Times New Roman" w:hAnsi="Times New Roman" w:cs="FrankRuehl" w:hint="cs"/>
        <w:b/>
        <w:bCs/>
        <w:color w:val="000080"/>
        <w:spacing w:val="6"/>
        <w:sz w:val="28"/>
        <w:szCs w:val="28"/>
        <w:rtl/>
        <w:lang w:eastAsia="he-IL"/>
      </w:rPr>
      <w:t>דוברות והסברה</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57B27"/>
    <w:multiLevelType w:val="multilevel"/>
    <w:tmpl w:val="2EA02F4A"/>
    <w:lvl w:ilvl="0">
      <w:start w:val="1"/>
      <w:numFmt w:val="decimal"/>
      <w:lvlText w:val="%1."/>
      <w:lvlJc w:val="left"/>
      <w:pPr>
        <w:tabs>
          <w:tab w:val="num" w:pos="454"/>
        </w:tabs>
        <w:ind w:left="454" w:hanging="454"/>
      </w:pPr>
      <w:rPr>
        <w:rFonts w:hint="default"/>
        <w:bCs w:val="0"/>
        <w:iCs w:val="0"/>
        <w:szCs w:val="24"/>
      </w:rPr>
    </w:lvl>
    <w:lvl w:ilvl="1">
      <w:start w:val="1"/>
      <w:numFmt w:val="hebrew1"/>
      <w:lvlText w:val="%2."/>
      <w:lvlJc w:val="left"/>
      <w:pPr>
        <w:tabs>
          <w:tab w:val="num" w:pos="907"/>
        </w:tabs>
        <w:ind w:left="908" w:hanging="454"/>
      </w:pPr>
      <w:rPr>
        <w:rFonts w:cs="David" w:hint="cs"/>
        <w:bCs w:val="0"/>
        <w:iCs w:val="0"/>
        <w:szCs w:val="26"/>
      </w:rPr>
    </w:lvl>
    <w:lvl w:ilvl="2">
      <w:start w:val="1"/>
      <w:numFmt w:val="decimal"/>
      <w:lvlText w:val="(%3)"/>
      <w:lvlJc w:val="left"/>
      <w:pPr>
        <w:tabs>
          <w:tab w:val="num" w:pos="1361"/>
        </w:tabs>
        <w:ind w:left="1362" w:hanging="454"/>
      </w:pPr>
      <w:rPr>
        <w:rFonts w:ascii="Times New Roman" w:hAnsi="Times New Roman" w:cs="David" w:hint="default"/>
        <w:b w:val="0"/>
        <w:bCs w:val="0"/>
        <w:i w:val="0"/>
        <w:iCs w:val="0"/>
        <w:sz w:val="24"/>
        <w:szCs w:val="24"/>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lef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left"/>
      <w:pPr>
        <w:ind w:left="4086" w:hanging="454"/>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3CF"/>
    <w:rsid w:val="000011AE"/>
    <w:rsid w:val="00025761"/>
    <w:rsid w:val="000C4D75"/>
    <w:rsid w:val="00173D8B"/>
    <w:rsid w:val="001D42A7"/>
    <w:rsid w:val="002453CF"/>
    <w:rsid w:val="002C0E83"/>
    <w:rsid w:val="003921C3"/>
    <w:rsid w:val="003C61AF"/>
    <w:rsid w:val="003E6E39"/>
    <w:rsid w:val="003E7EB7"/>
    <w:rsid w:val="00426AA7"/>
    <w:rsid w:val="00515986"/>
    <w:rsid w:val="005253B2"/>
    <w:rsid w:val="00541C9E"/>
    <w:rsid w:val="00631744"/>
    <w:rsid w:val="00690B6F"/>
    <w:rsid w:val="006A1A32"/>
    <w:rsid w:val="006B7B96"/>
    <w:rsid w:val="006C3B1F"/>
    <w:rsid w:val="006F1E1F"/>
    <w:rsid w:val="007007D7"/>
    <w:rsid w:val="00711675"/>
    <w:rsid w:val="00730CA1"/>
    <w:rsid w:val="007B7899"/>
    <w:rsid w:val="00832AD7"/>
    <w:rsid w:val="008C02E0"/>
    <w:rsid w:val="00983123"/>
    <w:rsid w:val="009E5C0E"/>
    <w:rsid w:val="00AD7644"/>
    <w:rsid w:val="00B1508B"/>
    <w:rsid w:val="00B16422"/>
    <w:rsid w:val="00B22AFC"/>
    <w:rsid w:val="00BA3143"/>
    <w:rsid w:val="00C22E08"/>
    <w:rsid w:val="00C37F37"/>
    <w:rsid w:val="00C50C55"/>
    <w:rsid w:val="00C529CC"/>
    <w:rsid w:val="00C842A7"/>
    <w:rsid w:val="00C85A27"/>
    <w:rsid w:val="00CA2D6A"/>
    <w:rsid w:val="00CB4940"/>
    <w:rsid w:val="00CD280B"/>
    <w:rsid w:val="00CE1F47"/>
    <w:rsid w:val="00D11F77"/>
    <w:rsid w:val="00D205AB"/>
    <w:rsid w:val="00D43C0E"/>
    <w:rsid w:val="00D5319F"/>
    <w:rsid w:val="00E35DF3"/>
    <w:rsid w:val="00EB6609"/>
    <w:rsid w:val="00F46250"/>
    <w:rsid w:val="00FF555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C43B57-6867-4F06-9DF1-55588D3D5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26AA7"/>
    <w:pPr>
      <w:spacing w:after="0" w:line="240" w:lineRule="auto"/>
    </w:pPr>
    <w:rPr>
      <w:rFonts w:ascii="Tahoma" w:hAnsi="Tahoma" w:cs="Tahoma"/>
      <w:sz w:val="18"/>
      <w:szCs w:val="18"/>
    </w:rPr>
  </w:style>
  <w:style w:type="character" w:customStyle="1" w:styleId="a4">
    <w:name w:val="טקסט בלונים תו"/>
    <w:basedOn w:val="a0"/>
    <w:link w:val="a3"/>
    <w:uiPriority w:val="99"/>
    <w:semiHidden/>
    <w:rsid w:val="00426AA7"/>
    <w:rPr>
      <w:rFonts w:ascii="Tahoma" w:hAnsi="Tahoma" w:cs="Tahoma"/>
      <w:sz w:val="18"/>
      <w:szCs w:val="18"/>
    </w:rPr>
  </w:style>
  <w:style w:type="character" w:styleId="Hyperlink">
    <w:name w:val="Hyperlink"/>
    <w:basedOn w:val="a0"/>
    <w:uiPriority w:val="99"/>
    <w:unhideWhenUsed/>
    <w:rsid w:val="00E35DF3"/>
    <w:rPr>
      <w:color w:val="0563C1" w:themeColor="hyperlink"/>
      <w:u w:val="single"/>
    </w:rPr>
  </w:style>
  <w:style w:type="paragraph" w:styleId="a5">
    <w:name w:val="header"/>
    <w:basedOn w:val="a"/>
    <w:link w:val="a6"/>
    <w:uiPriority w:val="99"/>
    <w:unhideWhenUsed/>
    <w:rsid w:val="00730CA1"/>
    <w:pPr>
      <w:tabs>
        <w:tab w:val="center" w:pos="4153"/>
        <w:tab w:val="right" w:pos="8306"/>
      </w:tabs>
      <w:spacing w:after="0" w:line="240" w:lineRule="auto"/>
    </w:pPr>
  </w:style>
  <w:style w:type="character" w:customStyle="1" w:styleId="a6">
    <w:name w:val="כותרת עליונה תו"/>
    <w:basedOn w:val="a0"/>
    <w:link w:val="a5"/>
    <w:uiPriority w:val="99"/>
    <w:rsid w:val="00730CA1"/>
  </w:style>
  <w:style w:type="paragraph" w:styleId="a7">
    <w:name w:val="footer"/>
    <w:basedOn w:val="a"/>
    <w:link w:val="a8"/>
    <w:uiPriority w:val="99"/>
    <w:unhideWhenUsed/>
    <w:rsid w:val="00730CA1"/>
    <w:pPr>
      <w:tabs>
        <w:tab w:val="center" w:pos="4153"/>
        <w:tab w:val="right" w:pos="8306"/>
      </w:tabs>
      <w:spacing w:after="0" w:line="240" w:lineRule="auto"/>
    </w:pPr>
  </w:style>
  <w:style w:type="character" w:customStyle="1" w:styleId="a8">
    <w:name w:val="כותרת תחתונה תו"/>
    <w:basedOn w:val="a0"/>
    <w:link w:val="a7"/>
    <w:uiPriority w:val="99"/>
    <w:rsid w:val="00730CA1"/>
  </w:style>
  <w:style w:type="paragraph" w:customStyle="1" w:styleId="Ruller4">
    <w:name w:val="Ruller4"/>
    <w:basedOn w:val="a"/>
    <w:link w:val="Ruller40"/>
    <w:qFormat/>
    <w:rsid w:val="00173D8B"/>
    <w:pPr>
      <w:tabs>
        <w:tab w:val="left" w:pos="800"/>
      </w:tabs>
      <w:overflowPunct w:val="0"/>
      <w:autoSpaceDE w:val="0"/>
      <w:autoSpaceDN w:val="0"/>
      <w:adjustRightInd w:val="0"/>
      <w:spacing w:after="0" w:line="360" w:lineRule="auto"/>
      <w:jc w:val="both"/>
      <w:textAlignment w:val="baseline"/>
    </w:pPr>
    <w:rPr>
      <w:rFonts w:ascii="Arial TUR" w:eastAsia="Times New Roman" w:hAnsi="Arial TUR" w:cs="FrankRuehl"/>
      <w:spacing w:val="10"/>
      <w:szCs w:val="28"/>
    </w:rPr>
  </w:style>
  <w:style w:type="character" w:customStyle="1" w:styleId="Ruller40">
    <w:name w:val="Ruller4 תו"/>
    <w:link w:val="Ruller4"/>
    <w:locked/>
    <w:rsid w:val="00173D8B"/>
    <w:rPr>
      <w:rFonts w:ascii="Arial TUR" w:eastAsia="Times New Roman" w:hAnsi="Arial TUR" w:cs="FrankRuehl"/>
      <w:spacing w:val="1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739060">
      <w:bodyDiv w:val="1"/>
      <w:marLeft w:val="0"/>
      <w:marRight w:val="0"/>
      <w:marTop w:val="0"/>
      <w:marBottom w:val="0"/>
      <w:divBdr>
        <w:top w:val="none" w:sz="0" w:space="0" w:color="auto"/>
        <w:left w:val="none" w:sz="0" w:space="0" w:color="auto"/>
        <w:bottom w:val="none" w:sz="0" w:space="0" w:color="auto"/>
        <w:right w:val="none" w:sz="0" w:space="0" w:color="auto"/>
      </w:divBdr>
    </w:div>
    <w:div w:id="1171139320">
      <w:bodyDiv w:val="1"/>
      <w:marLeft w:val="0"/>
      <w:marRight w:val="0"/>
      <w:marTop w:val="0"/>
      <w:marBottom w:val="0"/>
      <w:divBdr>
        <w:top w:val="none" w:sz="0" w:space="0" w:color="auto"/>
        <w:left w:val="none" w:sz="0" w:space="0" w:color="auto"/>
        <w:bottom w:val="none" w:sz="0" w:space="0" w:color="auto"/>
        <w:right w:val="none" w:sz="0" w:space="0" w:color="auto"/>
      </w:divBdr>
    </w:div>
    <w:div w:id="1552304460">
      <w:bodyDiv w:val="1"/>
      <w:marLeft w:val="0"/>
      <w:marRight w:val="0"/>
      <w:marTop w:val="0"/>
      <w:marBottom w:val="0"/>
      <w:divBdr>
        <w:top w:val="none" w:sz="0" w:space="0" w:color="auto"/>
        <w:left w:val="none" w:sz="0" w:space="0" w:color="auto"/>
        <w:bottom w:val="none" w:sz="0" w:space="0" w:color="auto"/>
        <w:right w:val="none" w:sz="0" w:space="0" w:color="auto"/>
      </w:divBdr>
    </w:div>
    <w:div w:id="206425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Dover@court.gov.i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CB965122-1404-4DD9-BA8E-7C2DB8448711}">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400</Words>
  <Characters>2138</Characters>
  <Application>Microsoft Office Word</Application>
  <DocSecurity>0</DocSecurity>
  <Lines>56</Lines>
  <Paragraphs>22</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נירית לזימי</dc:creator>
  <cp:keywords/>
  <dc:description/>
  <cp:lastModifiedBy>גרמאו מנגיסטו</cp:lastModifiedBy>
  <cp:revision>2</cp:revision>
  <cp:lastPrinted>2017-11-13T12:38:00Z</cp:lastPrinted>
  <dcterms:created xsi:type="dcterms:W3CDTF">2024-05-08T09:07:00Z</dcterms:created>
  <dcterms:modified xsi:type="dcterms:W3CDTF">2024-05-08T09:07:00Z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DateEng">
    <vt:lpwstr>08 במאי 2024</vt:lpwstr>
  </property>
  <property fmtid="{D5CDD505-2E9C-101B-9397-08002B2CF9AE}" pid="3" name="DocDateHeb">
    <vt:lpwstr>ל' בניסן תשפ"ד</vt:lpwstr>
  </property>
  <property fmtid="{D5CDD505-2E9C-101B-9397-08002B2CF9AE}" pid="4" name="DocNumber">
    <vt:lpwstr>4700-1039-2024-003414</vt:lpwstr>
  </property>
  <property fmtid="{D5CDD505-2E9C-101B-9397-08002B2CF9AE}" pid="5" name="DocRecipientsName">
    <vt:lpwstr/>
  </property>
  <property fmtid="{D5CDD505-2E9C-101B-9397-08002B2CF9AE}" pid="6" name="DocToName">
    <vt:lpwstr/>
  </property>
  <property fmtid="{D5CDD505-2E9C-101B-9397-08002B2CF9AE}" pid="7" name="DocObjectName">
    <vt:lpwstr>תקציר בג"ץ 3401/24 פרס ישראל</vt:lpwstr>
  </property>
</Properties>
</file>